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C89" w:rsidRDefault="00DE7C89" w:rsidP="00DE7C8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Helvetica" w:eastAsia="Times New Roman" w:hAnsi="Helvetica" w:cs="Helvetica"/>
          <w:color w:val="404040"/>
          <w:sz w:val="27"/>
          <w:szCs w:val="27"/>
          <w:lang w:eastAsia="tr-TR"/>
        </w:rPr>
      </w:pPr>
      <w:r w:rsidRPr="00AC59E3">
        <w:rPr>
          <w:rFonts w:ascii="Helvetica" w:eastAsia="Times New Roman" w:hAnsi="Helvetica" w:cs="Helvetica"/>
          <w:color w:val="404040"/>
          <w:sz w:val="27"/>
          <w:szCs w:val="27"/>
          <w:lang w:eastAsia="tr-TR"/>
        </w:rPr>
        <w:t xml:space="preserve">Yargıtay kararlarında mobbing, </w:t>
      </w:r>
      <w:r>
        <w:rPr>
          <w:rFonts w:ascii="Helvetica" w:eastAsia="Times New Roman" w:hAnsi="Helvetica" w:cs="Helvetica"/>
          <w:color w:val="404040"/>
          <w:sz w:val="27"/>
          <w:szCs w:val="27"/>
          <w:lang w:eastAsia="tr-TR"/>
        </w:rPr>
        <w:t xml:space="preserve">düzenli ve sürekli bir şekilde </w:t>
      </w:r>
      <w:r w:rsidRPr="00AC59E3">
        <w:rPr>
          <w:rFonts w:ascii="Helvetica" w:eastAsia="Times New Roman" w:hAnsi="Helvetica" w:cs="Helvetica"/>
          <w:color w:val="404040"/>
          <w:sz w:val="27"/>
          <w:szCs w:val="27"/>
          <w:lang w:eastAsia="tr-TR"/>
        </w:rPr>
        <w:t xml:space="preserve">"bir işçinin hedef alınarak, uzun bir süre ve belli aralıklarla sistematik biçimde tekrarlanan, mağdurun karşı koymasına rağmen yapılan aşağılayıcı, küçük düşürücü ve psikolojik olarak acı veren" </w:t>
      </w:r>
      <w:r>
        <w:rPr>
          <w:rFonts w:ascii="Helvetica" w:eastAsia="Times New Roman" w:hAnsi="Helvetica" w:cs="Helvetica"/>
          <w:color w:val="404040"/>
          <w:sz w:val="27"/>
          <w:szCs w:val="27"/>
          <w:lang w:eastAsia="tr-TR"/>
        </w:rPr>
        <w:t>fiiler ve davranışlar bütünü olarak tanımlanabilir.</w:t>
      </w:r>
    </w:p>
    <w:p w:rsidR="00DE7C89" w:rsidRDefault="00DE7C89" w:rsidP="00DE7C8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Helvetica" w:eastAsia="Times New Roman" w:hAnsi="Helvetica" w:cs="Helvetica"/>
          <w:color w:val="404040"/>
          <w:sz w:val="27"/>
          <w:szCs w:val="27"/>
          <w:lang w:eastAsia="tr-TR"/>
        </w:rPr>
      </w:pPr>
      <w:r w:rsidRPr="00AC59E3">
        <w:rPr>
          <w:rFonts w:ascii="Helvetica" w:eastAsia="Times New Roman" w:hAnsi="Helvetica" w:cs="Helvetica"/>
          <w:color w:val="404040"/>
          <w:sz w:val="27"/>
          <w:szCs w:val="27"/>
          <w:lang w:eastAsia="tr-TR"/>
        </w:rPr>
        <w:t>Yargıtay 22. HD, 2017/8155-2017/16633</w:t>
      </w:r>
      <w:r>
        <w:rPr>
          <w:rFonts w:ascii="Helvetica" w:eastAsia="Times New Roman" w:hAnsi="Helvetica" w:cs="Helvetica"/>
          <w:color w:val="404040"/>
          <w:sz w:val="27"/>
          <w:szCs w:val="27"/>
          <w:lang w:eastAsia="tr-TR"/>
        </w:rPr>
        <w:t xml:space="preserve"> E.- K. </w:t>
      </w:r>
      <w:r w:rsidRPr="00AC59E3">
        <w:rPr>
          <w:rFonts w:ascii="Helvetica" w:eastAsia="Times New Roman" w:hAnsi="Helvetica" w:cs="Helvetica"/>
          <w:color w:val="404040"/>
          <w:sz w:val="27"/>
          <w:szCs w:val="27"/>
          <w:lang w:eastAsia="tr-TR"/>
        </w:rPr>
        <w:t>;</w:t>
      </w:r>
      <w:r>
        <w:rPr>
          <w:rFonts w:ascii="Verdana" w:hAnsi="Verdana"/>
          <w:color w:val="3F4254"/>
          <w:shd w:val="clear" w:color="auto" w:fill="FFFFFF"/>
        </w:rPr>
        <w:t>“Mobbi</w:t>
      </w:r>
      <w:bookmarkStart w:id="0" w:name="_GoBack"/>
      <w:bookmarkEnd w:id="0"/>
      <w:r>
        <w:rPr>
          <w:rFonts w:ascii="Verdana" w:hAnsi="Verdana"/>
          <w:color w:val="3F4254"/>
          <w:shd w:val="clear" w:color="auto" w:fill="FFFFFF"/>
        </w:rPr>
        <w:t>ngin meydana gelebilmesi için bir işçinin hedef alınarak, uzun bir süre ve belli aralıklarla sistematik biçimde tekrarlanan, mağdurun karşı koymasına rağmen yapılan aşağılayıcı, küçük düşürücü ve psikolojik olarak acı veren, işteki performansı engelleyen veyahut olumsuz bir çalışma ortamına sebep olan tehdit, şiddet, aşağılama, hakaret, ayrımcılık, ağır eleştiri, taciz ve çalışma şartlarını ağırlaştırma gibi eylem, tutum ve davranışların uygulanması gerekir. Uluslararası Çalışma Örgütü’ne göre de mobbing; “bir veya bir grup işçiyi sabote etmek için yapılan, zalimce, kötü niyetli, intikamcı, aşağılayıcı ve eleştirici tavırlarla kendini gösteren davranış biçimi” şeklinde tanımlanmaktadır.</w:t>
      </w:r>
    </w:p>
    <w:p w:rsidR="00DE7C89" w:rsidRPr="00AC59E3" w:rsidRDefault="00DE7C89" w:rsidP="00DE7C89">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Helvetica" w:eastAsia="Times New Roman" w:hAnsi="Helvetica" w:cs="Helvetica"/>
          <w:color w:val="404040"/>
          <w:sz w:val="27"/>
          <w:szCs w:val="27"/>
          <w:lang w:eastAsia="tr-TR"/>
        </w:rPr>
      </w:pPr>
      <w:r w:rsidRPr="00AC59E3">
        <w:rPr>
          <w:rFonts w:ascii="Helvetica" w:eastAsia="Times New Roman" w:hAnsi="Helvetica" w:cs="Helvetica"/>
          <w:b/>
          <w:bCs/>
          <w:color w:val="111827"/>
          <w:sz w:val="27"/>
          <w:szCs w:val="27"/>
          <w:bdr w:val="single" w:sz="2" w:space="0" w:color="E5E7EB" w:frame="1"/>
          <w:lang w:eastAsia="tr-TR"/>
        </w:rPr>
        <w:t>İspat Külfeti ve Standardı Üzerindeki Farklı Yaklaşımlar</w:t>
      </w:r>
      <w:r>
        <w:rPr>
          <w:rFonts w:ascii="Helvetica" w:eastAsia="Times New Roman" w:hAnsi="Helvetica" w:cs="Helvetica"/>
          <w:b/>
          <w:bCs/>
          <w:color w:val="111827"/>
          <w:sz w:val="27"/>
          <w:szCs w:val="27"/>
          <w:bdr w:val="single" w:sz="2" w:space="0" w:color="E5E7EB" w:frame="1"/>
          <w:lang w:eastAsia="tr-TR"/>
        </w:rPr>
        <w:t xml:space="preserve">da farklı yaklaşımlar mevcuttur: </w:t>
      </w:r>
    </w:p>
    <w:p w:rsidR="00DE7C89" w:rsidRPr="00AC59E3" w:rsidRDefault="00DE7C89" w:rsidP="00DE7C89">
      <w:pPr>
        <w:numPr>
          <w:ilvl w:val="1"/>
          <w:numId w:val="1"/>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ind w:left="0"/>
        <w:jc w:val="both"/>
        <w:rPr>
          <w:rFonts w:ascii="Helvetica" w:eastAsia="Times New Roman" w:hAnsi="Helvetica" w:cs="Helvetica"/>
          <w:color w:val="404040"/>
          <w:sz w:val="27"/>
          <w:szCs w:val="27"/>
          <w:lang w:eastAsia="tr-TR"/>
        </w:rPr>
      </w:pPr>
      <w:r w:rsidRPr="00AC59E3">
        <w:rPr>
          <w:rFonts w:ascii="Helvetica" w:eastAsia="Times New Roman" w:hAnsi="Helvetica" w:cs="Helvetica"/>
          <w:b/>
          <w:bCs/>
          <w:color w:val="111827"/>
          <w:sz w:val="27"/>
          <w:szCs w:val="27"/>
          <w:bdr w:val="single" w:sz="2" w:space="0" w:color="E5E7EB" w:frame="1"/>
          <w:lang w:eastAsia="tr-TR"/>
        </w:rPr>
        <w:t>Yaklaşık İspat ve Şüphe Yeterliliği:</w:t>
      </w:r>
      <w:r>
        <w:rPr>
          <w:rFonts w:ascii="Helvetica" w:eastAsia="Times New Roman" w:hAnsi="Helvetica" w:cs="Helvetica"/>
          <w:color w:val="404040"/>
          <w:sz w:val="27"/>
          <w:szCs w:val="27"/>
          <w:lang w:eastAsia="tr-TR"/>
        </w:rPr>
        <w:t> Kimi içtihatlarda</w:t>
      </w:r>
      <w:r w:rsidRPr="00AC59E3">
        <w:rPr>
          <w:rFonts w:ascii="Helvetica" w:eastAsia="Times New Roman" w:hAnsi="Helvetica" w:cs="Helvetica"/>
          <w:color w:val="404040"/>
          <w:sz w:val="27"/>
          <w:szCs w:val="27"/>
          <w:lang w:eastAsia="tr-TR"/>
        </w:rPr>
        <w:t>mobbingin ispatında daha esnek bir yaklaşım benimsemektedir. Bu görüşe göre, </w:t>
      </w:r>
      <w:r w:rsidRPr="00AC59E3">
        <w:rPr>
          <w:rFonts w:ascii="Helvetica" w:eastAsia="Times New Roman" w:hAnsi="Helvetica" w:cs="Helvetica"/>
          <w:b/>
          <w:bCs/>
          <w:color w:val="111827"/>
          <w:sz w:val="27"/>
          <w:szCs w:val="27"/>
          <w:bdr w:val="single" w:sz="2" w:space="0" w:color="E5E7EB" w:frame="1"/>
          <w:lang w:eastAsia="tr-TR"/>
        </w:rPr>
        <w:t>"Mobbing iddialarında şüpheden uzak kesin deliller aranmayacağı; davacı işçinin, kendisine işyerinde mobbing uygulandığına dair kuşku uyandıracak olguları ileri sürmesinin yeterli olduğu"</w:t>
      </w:r>
      <w:r w:rsidRPr="00AC59E3">
        <w:rPr>
          <w:rFonts w:ascii="Helvetica" w:eastAsia="Times New Roman" w:hAnsi="Helvetica" w:cs="Helvetica"/>
          <w:color w:val="404040"/>
          <w:sz w:val="27"/>
          <w:szCs w:val="27"/>
          <w:lang w:eastAsia="tr-TR"/>
        </w:rPr>
        <w:t xml:space="preserve"> ve bu durumda ispat külfetinin işverene geçtiği kabul edilmektedir (Yargıtay 22. HD, 2020/230-2020/1601; Yargıtay HGK, 2015/2274-2018/1428). Bu yaklaşım, işçinin ispat açısından dezavantajlı konumda olduğu </w:t>
      </w:r>
      <w:r>
        <w:rPr>
          <w:rFonts w:ascii="Helvetica" w:eastAsia="Times New Roman" w:hAnsi="Helvetica" w:cs="Helvetica"/>
          <w:color w:val="404040"/>
          <w:sz w:val="27"/>
          <w:szCs w:val="27"/>
          <w:lang w:eastAsia="tr-TR"/>
        </w:rPr>
        <w:t xml:space="preserve">görüşüne mesnet alarak geliştirilmiştir. </w:t>
      </w:r>
      <w:r w:rsidRPr="00AC59E3">
        <w:rPr>
          <w:rFonts w:ascii="Helvetica" w:eastAsia="Times New Roman" w:hAnsi="Helvetica" w:cs="Helvetica"/>
          <w:color w:val="404040"/>
          <w:sz w:val="27"/>
          <w:szCs w:val="27"/>
          <w:lang w:eastAsia="tr-TR"/>
        </w:rPr>
        <w:t xml:space="preserve"> (Yargıtay 9. HD, 2016/36185-2020/18583).</w:t>
      </w:r>
    </w:p>
    <w:p w:rsidR="00DE7C89" w:rsidRPr="00AC59E3" w:rsidRDefault="00DE7C89" w:rsidP="00DE7C89">
      <w:pPr>
        <w:numPr>
          <w:ilvl w:val="1"/>
          <w:numId w:val="1"/>
        </w:num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ind w:left="0"/>
        <w:jc w:val="both"/>
        <w:rPr>
          <w:rFonts w:ascii="Helvetica" w:eastAsia="Times New Roman" w:hAnsi="Helvetica" w:cs="Helvetica"/>
          <w:color w:val="404040"/>
          <w:sz w:val="27"/>
          <w:szCs w:val="27"/>
          <w:lang w:eastAsia="tr-TR"/>
        </w:rPr>
      </w:pPr>
      <w:r w:rsidRPr="00AC59E3">
        <w:rPr>
          <w:rFonts w:ascii="Helvetica" w:eastAsia="Times New Roman" w:hAnsi="Helvetica" w:cs="Helvetica"/>
          <w:b/>
          <w:bCs/>
          <w:color w:val="111827"/>
          <w:sz w:val="27"/>
          <w:szCs w:val="27"/>
          <w:bdr w:val="single" w:sz="2" w:space="0" w:color="E5E7EB" w:frame="1"/>
          <w:lang w:eastAsia="tr-TR"/>
        </w:rPr>
        <w:t>Somut ve İnandırıcı Delil Aranması:</w:t>
      </w:r>
      <w:r w:rsidRPr="00AC59E3">
        <w:rPr>
          <w:rFonts w:ascii="Helvetica" w:eastAsia="Times New Roman" w:hAnsi="Helvetica" w:cs="Helvetica"/>
          <w:color w:val="404040"/>
          <w:sz w:val="27"/>
          <w:szCs w:val="27"/>
          <w:lang w:eastAsia="tr-TR"/>
        </w:rPr>
        <w:t> </w:t>
      </w:r>
      <w:r>
        <w:rPr>
          <w:rFonts w:ascii="Helvetica" w:eastAsia="Times New Roman" w:hAnsi="Helvetica" w:cs="Helvetica"/>
          <w:color w:val="404040"/>
          <w:sz w:val="27"/>
          <w:szCs w:val="27"/>
          <w:lang w:eastAsia="tr-TR"/>
        </w:rPr>
        <w:t>Diğer bir görüşte</w:t>
      </w:r>
      <w:r w:rsidRPr="00AC59E3">
        <w:rPr>
          <w:rFonts w:ascii="Helvetica" w:eastAsia="Times New Roman" w:hAnsi="Helvetica" w:cs="Helvetica"/>
          <w:color w:val="404040"/>
          <w:sz w:val="27"/>
          <w:szCs w:val="27"/>
          <w:lang w:eastAsia="tr-TR"/>
        </w:rPr>
        <w:t xml:space="preserve"> ise, mobbing iddiasının "yöntemince, her türlü şüpheden uzak ve inandırıcı bir şekilde ispatlanamadığı" (Yargıtay 7. HD, 2015/37812-2016/6073) veya "somut ve inandırıcı delillerle ortaya konmadığı" (Yargıtay 22. HD, 2016/28981-2020/2087) gerekçeleriyle taleplerin reddedildiği görülmektedir. Bu kararlarda, iddianın somutlaştırılması ve yeterli delillerle desteklenmesi gerektiği vurgulanmaktadır.</w:t>
      </w:r>
      <w:r>
        <w:rPr>
          <w:rFonts w:ascii="Helvetica" w:eastAsia="Times New Roman" w:hAnsi="Helvetica" w:cs="Helvetica"/>
          <w:color w:val="404040"/>
          <w:sz w:val="27"/>
          <w:szCs w:val="27"/>
          <w:lang w:eastAsia="tr-TR"/>
        </w:rPr>
        <w:t xml:space="preserve"> Aksi halde mobbing iddiasına dayalı tazminat talepleri reddedilmiştir. </w:t>
      </w:r>
    </w:p>
    <w:p w:rsidR="00DE7C89" w:rsidRDefault="00DE7C89" w:rsidP="00DE7C89">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Helvetica" w:eastAsia="Times New Roman" w:hAnsi="Helvetica" w:cs="Helvetica"/>
          <w:color w:val="404040"/>
          <w:sz w:val="27"/>
          <w:szCs w:val="27"/>
          <w:lang w:eastAsia="tr-TR"/>
        </w:rPr>
      </w:pPr>
      <w:r w:rsidRPr="00AC59E3">
        <w:rPr>
          <w:rFonts w:ascii="Helvetica" w:eastAsia="Times New Roman" w:hAnsi="Helvetica" w:cs="Helvetica"/>
          <w:b/>
          <w:bCs/>
          <w:color w:val="111827"/>
          <w:sz w:val="27"/>
          <w:szCs w:val="27"/>
          <w:bdr w:val="single" w:sz="2" w:space="0" w:color="E5E7EB" w:frame="1"/>
          <w:lang w:eastAsia="tr-TR"/>
        </w:rPr>
        <w:t>Tanık Beyanlarının Delil Değeri:</w:t>
      </w:r>
      <w:r w:rsidRPr="00AC59E3">
        <w:rPr>
          <w:rFonts w:ascii="Helvetica" w:eastAsia="Times New Roman" w:hAnsi="Helvetica" w:cs="Helvetica"/>
          <w:color w:val="404040"/>
          <w:sz w:val="27"/>
          <w:szCs w:val="27"/>
          <w:lang w:eastAsia="tr-TR"/>
        </w:rPr>
        <w:t xml:space="preserve"> Tanık beyanları mobbing davalarında kritik bir delil olmakla birlikte, mahkemeler bu beyanları titizlikle değerlendirmektedir. Tanık beyanlarının doğrudan görgüye dayanmaması, duyuma dayalı olması ("nakli beyan"), tanığın davalı işverenle husumetinin bulunması veya davacı ile menfaat birliği içinde olması (örneğin eşi olması) gibi durumlar, beyanların delil değerini zayıflatmaktadır (Yargıtay 9. HD, </w:t>
      </w:r>
      <w:r w:rsidRPr="00AC59E3">
        <w:rPr>
          <w:rFonts w:ascii="Helvetica" w:eastAsia="Times New Roman" w:hAnsi="Helvetica" w:cs="Helvetica"/>
          <w:color w:val="404040"/>
          <w:sz w:val="27"/>
          <w:szCs w:val="27"/>
          <w:lang w:eastAsia="tr-TR"/>
        </w:rPr>
        <w:lastRenderedPageBreak/>
        <w:t xml:space="preserve">2018/22875; Yargıtay 22. HD, 2019/21085; Yargıtay 9. HD, 2022/5787-2022/6505). </w:t>
      </w:r>
    </w:p>
    <w:p w:rsidR="00DE7C89" w:rsidRDefault="00DE7C89" w:rsidP="00DE7C8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Helvetica" w:eastAsia="Times New Roman" w:hAnsi="Helvetica" w:cs="Helvetica"/>
          <w:color w:val="404040"/>
          <w:sz w:val="27"/>
          <w:szCs w:val="27"/>
          <w:lang w:eastAsia="tr-TR"/>
        </w:rPr>
      </w:pPr>
    </w:p>
    <w:p w:rsidR="00DE7C89" w:rsidRPr="00AC59E3" w:rsidRDefault="00DE7C89" w:rsidP="00DE7C8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Helvetica" w:eastAsia="Times New Roman" w:hAnsi="Helvetica" w:cs="Helvetica"/>
          <w:color w:val="404040"/>
          <w:sz w:val="27"/>
          <w:szCs w:val="27"/>
          <w:lang w:eastAsia="tr-TR"/>
        </w:rPr>
      </w:pPr>
      <w:r>
        <w:rPr>
          <w:rFonts w:ascii="Helvetica" w:eastAsia="Times New Roman" w:hAnsi="Helvetica" w:cs="Helvetica"/>
          <w:color w:val="404040"/>
          <w:sz w:val="27"/>
          <w:szCs w:val="27"/>
          <w:lang w:eastAsia="tr-TR"/>
        </w:rPr>
        <w:t>Netice itibariyle ö</w:t>
      </w:r>
      <w:r w:rsidRPr="00AC59E3">
        <w:rPr>
          <w:rFonts w:ascii="Helvetica" w:eastAsia="Times New Roman" w:hAnsi="Helvetica" w:cs="Helvetica"/>
          <w:color w:val="404040"/>
          <w:sz w:val="27"/>
          <w:szCs w:val="27"/>
          <w:lang w:eastAsia="tr-TR"/>
        </w:rPr>
        <w:t xml:space="preserve">ncelikle, mobbingin varlığının kabulü için iddianın sistematik, sürekli ve hedef gözeten </w:t>
      </w:r>
      <w:r>
        <w:rPr>
          <w:rFonts w:ascii="Helvetica" w:eastAsia="Times New Roman" w:hAnsi="Helvetica" w:cs="Helvetica"/>
          <w:color w:val="404040"/>
          <w:sz w:val="27"/>
          <w:szCs w:val="27"/>
          <w:lang w:eastAsia="tr-TR"/>
        </w:rPr>
        <w:t xml:space="preserve"> fiillerin bulunması ve idida eden tarafından bu fiilerin somutlaştırılması elzemdir. Bu görüş </w:t>
      </w:r>
      <w:r w:rsidRPr="00AC59E3">
        <w:rPr>
          <w:rFonts w:ascii="Helvetica" w:eastAsia="Times New Roman" w:hAnsi="Helvetica" w:cs="Helvetica"/>
          <w:color w:val="404040"/>
          <w:sz w:val="27"/>
          <w:szCs w:val="27"/>
          <w:lang w:eastAsia="tr-TR"/>
        </w:rPr>
        <w:t xml:space="preserve"> Yargıtay'ın yerleşik içtihadıdır. Tek bir tanığın, mobbingin sistematik niteliğini ortaya koymayan münferit bir </w:t>
      </w:r>
      <w:r>
        <w:rPr>
          <w:rFonts w:ascii="Helvetica" w:eastAsia="Times New Roman" w:hAnsi="Helvetica" w:cs="Helvetica"/>
          <w:color w:val="404040"/>
          <w:sz w:val="27"/>
          <w:szCs w:val="27"/>
          <w:lang w:eastAsia="tr-TR"/>
        </w:rPr>
        <w:t xml:space="preserve">olayı </w:t>
      </w:r>
      <w:r w:rsidRPr="00AC59E3">
        <w:rPr>
          <w:rFonts w:ascii="Helvetica" w:eastAsia="Times New Roman" w:hAnsi="Helvetica" w:cs="Helvetica"/>
          <w:color w:val="404040"/>
          <w:sz w:val="27"/>
          <w:szCs w:val="27"/>
          <w:lang w:eastAsia="tr-TR"/>
        </w:rPr>
        <w:t xml:space="preserve"> beyan etmesi, kararların genelinde aranan "süreklilik" ve "sistematiklik" unsurlarını karşılamaktan uzak kalacaktır</w:t>
      </w:r>
      <w:r>
        <w:rPr>
          <w:rFonts w:ascii="Helvetica" w:eastAsia="Times New Roman" w:hAnsi="Helvetica" w:cs="Helvetica"/>
          <w:color w:val="404040"/>
          <w:sz w:val="27"/>
          <w:szCs w:val="27"/>
          <w:lang w:eastAsia="tr-TR"/>
        </w:rPr>
        <w:t xml:space="preserve">. </w:t>
      </w:r>
    </w:p>
    <w:p w:rsidR="00DE7C89" w:rsidRDefault="00DE7C89" w:rsidP="00DE7C8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Helvetica" w:eastAsia="Times New Roman" w:hAnsi="Helvetica" w:cs="Helvetica"/>
          <w:color w:val="404040"/>
          <w:sz w:val="27"/>
          <w:szCs w:val="27"/>
          <w:lang w:eastAsia="tr-TR"/>
        </w:rPr>
      </w:pPr>
      <w:r w:rsidRPr="00AC59E3">
        <w:rPr>
          <w:rFonts w:ascii="Helvetica" w:eastAsia="Times New Roman" w:hAnsi="Helvetica" w:cs="Helvetica"/>
          <w:color w:val="404040"/>
          <w:sz w:val="27"/>
          <w:szCs w:val="27"/>
          <w:lang w:eastAsia="tr-TR"/>
        </w:rPr>
        <w:t xml:space="preserve">İspat standardı konusunda kararlar arasında bir nüans bulunsa da, "yaklaşık ispat" veya "kuşku uyandırma"nın yeterli görüldüğü kararlarda dahi, bu kuşkunun birden fazla olguya (elektronik posta, görev yeri değişikliği, diğer tanık anlatımları vb.) dayandırıldığı görülmektedir </w:t>
      </w:r>
      <w:r>
        <w:rPr>
          <w:rFonts w:ascii="Helvetica" w:eastAsia="Times New Roman" w:hAnsi="Helvetica" w:cs="Helvetica"/>
          <w:color w:val="404040"/>
          <w:sz w:val="27"/>
          <w:szCs w:val="27"/>
          <w:lang w:eastAsia="tr-TR"/>
        </w:rPr>
        <w:t>.</w:t>
      </w:r>
      <w:r w:rsidRPr="00AC59E3">
        <w:rPr>
          <w:rFonts w:ascii="Helvetica" w:eastAsia="Times New Roman" w:hAnsi="Helvetica" w:cs="Helvetica"/>
          <w:color w:val="404040"/>
          <w:sz w:val="27"/>
          <w:szCs w:val="27"/>
          <w:lang w:eastAsia="tr-TR"/>
        </w:rPr>
        <w:t xml:space="preserve">(Yargıtay HGK, 2015/2274-2018/1428). Dolayısıyla, en esnek ispat standardını benimseyen kararlar bile, tek ve izole bir </w:t>
      </w:r>
      <w:r>
        <w:rPr>
          <w:rFonts w:ascii="Helvetica" w:eastAsia="Times New Roman" w:hAnsi="Helvetica" w:cs="Helvetica"/>
          <w:color w:val="404040"/>
          <w:sz w:val="27"/>
          <w:szCs w:val="27"/>
          <w:lang w:eastAsia="tr-TR"/>
        </w:rPr>
        <w:t xml:space="preserve"> emareye</w:t>
      </w:r>
      <w:r w:rsidRPr="00AC59E3">
        <w:rPr>
          <w:rFonts w:ascii="Helvetica" w:eastAsia="Times New Roman" w:hAnsi="Helvetica" w:cs="Helvetica"/>
          <w:color w:val="404040"/>
          <w:sz w:val="27"/>
          <w:szCs w:val="27"/>
          <w:lang w:eastAsia="tr-TR"/>
        </w:rPr>
        <w:t xml:space="preserve"> dayanarak mobbing hükmü kurulmasını desteklememektedir.</w:t>
      </w:r>
    </w:p>
    <w:p w:rsidR="00A32E15" w:rsidRDefault="00A32E15" w:rsidP="00DE7C8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Helvetica" w:eastAsia="Times New Roman" w:hAnsi="Helvetica" w:cs="Helvetica"/>
          <w:color w:val="404040"/>
          <w:sz w:val="27"/>
          <w:szCs w:val="27"/>
          <w:lang w:eastAsia="tr-TR"/>
        </w:rPr>
      </w:pPr>
    </w:p>
    <w:p w:rsidR="00A32E15" w:rsidRDefault="00A32E15" w:rsidP="00DE7C89">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Helvetica" w:eastAsia="Times New Roman" w:hAnsi="Helvetica" w:cs="Helvetica"/>
          <w:color w:val="404040"/>
          <w:sz w:val="27"/>
          <w:szCs w:val="27"/>
          <w:lang w:eastAsia="tr-TR"/>
        </w:rPr>
      </w:pPr>
      <w:r>
        <w:rPr>
          <w:rFonts w:ascii="Helvetica" w:eastAsia="Times New Roman" w:hAnsi="Helvetica" w:cs="Helvetica"/>
          <w:color w:val="404040"/>
          <w:sz w:val="27"/>
          <w:szCs w:val="27"/>
          <w:lang w:eastAsia="tr-TR"/>
        </w:rPr>
        <w:t xml:space="preserve">                                                                            Av.Sakine AKDAĞ DEMİR</w:t>
      </w:r>
    </w:p>
    <w:p w:rsidR="00DE7C89" w:rsidRPr="00AC59E3" w:rsidRDefault="00DE7C89" w:rsidP="00DE7C89"/>
    <w:p w:rsidR="00831C90" w:rsidRDefault="00831C90"/>
    <w:sectPr w:rsidR="00831C90" w:rsidSect="004F2E25">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57E" w:rsidRDefault="00F8057E" w:rsidP="00DE7C89">
      <w:pPr>
        <w:spacing w:after="0" w:line="240" w:lineRule="auto"/>
      </w:pPr>
      <w:r>
        <w:separator/>
      </w:r>
    </w:p>
  </w:endnote>
  <w:endnote w:type="continuationSeparator" w:id="1">
    <w:p w:rsidR="00F8057E" w:rsidRDefault="00F8057E" w:rsidP="00DE7C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Helvetica">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57E" w:rsidRDefault="00F8057E" w:rsidP="00DE7C89">
      <w:pPr>
        <w:spacing w:after="0" w:line="240" w:lineRule="auto"/>
      </w:pPr>
      <w:r>
        <w:separator/>
      </w:r>
    </w:p>
  </w:footnote>
  <w:footnote w:type="continuationSeparator" w:id="1">
    <w:p w:rsidR="00F8057E" w:rsidRDefault="00F8057E" w:rsidP="00DE7C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C89" w:rsidRDefault="00DE7C89">
    <w:pPr>
      <w:pStyle w:val="stbilgi"/>
    </w:pPr>
    <w:r>
      <w:t xml:space="preserve">İŞ HUKUKU İÇTİHATLARINDA MOBBİNG KAVRAMI VE İSPATI </w:t>
    </w:r>
  </w:p>
  <w:p w:rsidR="00AC59E3" w:rsidRDefault="00F8057E">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492A19"/>
    <w:multiLevelType w:val="multilevel"/>
    <w:tmpl w:val="6E6A64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E7C89"/>
    <w:rsid w:val="00472EC3"/>
    <w:rsid w:val="004F2E25"/>
    <w:rsid w:val="00831C90"/>
    <w:rsid w:val="00870F4F"/>
    <w:rsid w:val="00A32E15"/>
    <w:rsid w:val="00C12B39"/>
    <w:rsid w:val="00DE7C89"/>
    <w:rsid w:val="00E2506F"/>
    <w:rsid w:val="00F8057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C8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E7C8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E7C89"/>
  </w:style>
  <w:style w:type="paragraph" w:styleId="Altbilgi">
    <w:name w:val="footer"/>
    <w:basedOn w:val="Normal"/>
    <w:link w:val="AltbilgiChar"/>
    <w:uiPriority w:val="99"/>
    <w:unhideWhenUsed/>
    <w:rsid w:val="00DE7C8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E7C8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567</Words>
  <Characters>3235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onb</cp:lastModifiedBy>
  <cp:revision>3</cp:revision>
  <dcterms:created xsi:type="dcterms:W3CDTF">2025-11-25T17:21:00Z</dcterms:created>
  <dcterms:modified xsi:type="dcterms:W3CDTF">2025-11-26T11:02:00Z</dcterms:modified>
</cp:coreProperties>
</file>